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98B4" w14:textId="2834759F" w:rsidR="002460AD" w:rsidRDefault="00FC68D2" w:rsidP="00FC68D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Novus SMART Academy 2024 Application Recommendation</w:t>
      </w:r>
    </w:p>
    <w:p w14:paraId="4944F182" w14:textId="55079990" w:rsidR="00CA0E48" w:rsidRDefault="00FC68D2" w:rsidP="00644982">
      <w:pPr>
        <w:jc w:val="center"/>
        <w:rPr>
          <w:b/>
          <w:bCs/>
        </w:rPr>
      </w:pPr>
      <w:r>
        <w:rPr>
          <w:b/>
          <w:bCs/>
        </w:rPr>
        <w:t>Stipulations for Reconsideration of Initially Denied Application:</w:t>
      </w:r>
    </w:p>
    <w:p w14:paraId="1D05C458" w14:textId="0569DCB6" w:rsidR="00FC68D2" w:rsidRDefault="00FC68D2" w:rsidP="00FC68D2">
      <w:pPr>
        <w:rPr>
          <w:b/>
          <w:bCs/>
        </w:rPr>
      </w:pPr>
      <w:r>
        <w:rPr>
          <w:b/>
          <w:bCs/>
        </w:rPr>
        <w:t>Part I: Academic Plan Design and Capacity</w:t>
      </w:r>
    </w:p>
    <w:p w14:paraId="0B04008D" w14:textId="0E11077E" w:rsidR="00FF10F5" w:rsidRDefault="00FF10F5" w:rsidP="00FC68D2">
      <w:pPr>
        <w:pStyle w:val="ListParagraph"/>
        <w:numPr>
          <w:ilvl w:val="0"/>
          <w:numId w:val="1"/>
        </w:numPr>
      </w:pPr>
      <w:r>
        <w:t>Update the application to explain how your curricula is more “rigorous” (</w:t>
      </w:r>
      <w:r w:rsidRPr="00FF10F5">
        <w:rPr>
          <w:i/>
          <w:iCs/>
        </w:rPr>
        <w:t>1.1f</w:t>
      </w:r>
      <w:r>
        <w:t xml:space="preserve"> - pg. 18)</w:t>
      </w:r>
      <w:r w:rsidR="001672E0">
        <w:t xml:space="preserve"> </w:t>
      </w:r>
      <w:r>
        <w:t xml:space="preserve">than in other RCS schools and provide the research evidence indicating the </w:t>
      </w:r>
      <w:r w:rsidR="007A3D25">
        <w:t>effectiveness</w:t>
      </w:r>
      <w:r>
        <w:t xml:space="preserve"> of your chosen strategies</w:t>
      </w:r>
      <w:r w:rsidR="0043121C">
        <w:t xml:space="preserve"> with the intended </w:t>
      </w:r>
      <w:r w:rsidR="007A3D25">
        <w:t xml:space="preserve">student </w:t>
      </w:r>
      <w:r w:rsidR="0043121C">
        <w:t>population</w:t>
      </w:r>
      <w:r>
        <w:t>, specifically ABL, IBL, PBL (</w:t>
      </w:r>
      <w:r>
        <w:rPr>
          <w:i/>
          <w:iCs/>
        </w:rPr>
        <w:t xml:space="preserve">1.1c - </w:t>
      </w:r>
      <w:r>
        <w:t>pg. 13)</w:t>
      </w:r>
      <w:r w:rsidR="00013FF9">
        <w:t xml:space="preserve">, and </w:t>
      </w:r>
      <w:r w:rsidR="00013FF9">
        <w:rPr>
          <w:i/>
          <w:iCs/>
        </w:rPr>
        <w:t xml:space="preserve">Get Better Faster (1.3b – </w:t>
      </w:r>
      <w:r w:rsidR="00013FF9">
        <w:t>p. 41)</w:t>
      </w:r>
      <w:r>
        <w:t>.</w:t>
      </w:r>
      <w:r w:rsidR="00AD6205">
        <w:t xml:space="preserve"> Provide </w:t>
      </w:r>
      <w:r w:rsidR="009C5F25">
        <w:t>evidence that the chosen ELA</w:t>
      </w:r>
      <w:r w:rsidR="00C7339C">
        <w:t xml:space="preserve"> </w:t>
      </w:r>
      <w:r w:rsidR="009C5F25">
        <w:t>materials are aligned with TN content standards (</w:t>
      </w:r>
      <w:r w:rsidR="00DD0B23">
        <w:rPr>
          <w:i/>
          <w:iCs/>
        </w:rPr>
        <w:t>1.3b-p.31</w:t>
      </w:r>
      <w:r w:rsidR="000F7AAB">
        <w:rPr>
          <w:i/>
          <w:iCs/>
        </w:rPr>
        <w:t>-33</w:t>
      </w:r>
      <w:r w:rsidR="00DD0B23">
        <w:rPr>
          <w:i/>
          <w:iCs/>
        </w:rPr>
        <w:t>)</w:t>
      </w:r>
      <w:r w:rsidR="000F7AAB">
        <w:rPr>
          <w:i/>
          <w:iCs/>
        </w:rPr>
        <w:t>.</w:t>
      </w:r>
    </w:p>
    <w:p w14:paraId="7C40DA98" w14:textId="0E645D3C" w:rsidR="00FF10F5" w:rsidRDefault="008501DC" w:rsidP="008501DC">
      <w:pPr>
        <w:pStyle w:val="ListParagraph"/>
        <w:numPr>
          <w:ilvl w:val="0"/>
          <w:numId w:val="1"/>
        </w:numPr>
      </w:pPr>
      <w:r>
        <w:t>Revise the “Two-Teacher Model” descriptor (</w:t>
      </w:r>
      <w:r w:rsidRPr="008501DC">
        <w:rPr>
          <w:i/>
          <w:iCs/>
        </w:rPr>
        <w:t xml:space="preserve">1.3b – </w:t>
      </w:r>
      <w:r>
        <w:t>pg. 34) to clearly define the qualifications for the indicated “second teacher” (or “third teacher” indicated for inclusion classrooms).</w:t>
      </w:r>
      <w:r w:rsidR="00392137">
        <w:t xml:space="preserve"> In addition, the staffing chart on pg. 115 does not accurately reflect a full provision for the two-teacher model in year 1 (typo?). </w:t>
      </w:r>
    </w:p>
    <w:p w14:paraId="7B629249" w14:textId="075FEB91" w:rsidR="008501DC" w:rsidRDefault="0094088A" w:rsidP="008501DC">
      <w:pPr>
        <w:pStyle w:val="ListParagraph"/>
        <w:numPr>
          <w:ilvl w:val="0"/>
          <w:numId w:val="1"/>
        </w:numPr>
      </w:pPr>
      <w:r>
        <w:t xml:space="preserve">In section </w:t>
      </w:r>
      <w:r w:rsidRPr="0094088A">
        <w:rPr>
          <w:i/>
          <w:iCs/>
        </w:rPr>
        <w:t>1.4f</w:t>
      </w:r>
      <w:r>
        <w:rPr>
          <w:i/>
          <w:iCs/>
        </w:rPr>
        <w:t xml:space="preserve">, </w:t>
      </w:r>
      <w:r>
        <w:t xml:space="preserve">clarify RTI2 plans to fully describe how, when, and where interventions will be provided for Tier II and III students (p. 60-61). </w:t>
      </w:r>
      <w:r w:rsidR="00F34BA1">
        <w:t>How will IXL be utilized in the intervention setting?</w:t>
      </w:r>
    </w:p>
    <w:p w14:paraId="2B4976F5" w14:textId="476F950D" w:rsidR="00FC68D2" w:rsidRDefault="00FC68D2" w:rsidP="00FC68D2">
      <w:pPr>
        <w:pStyle w:val="ListParagraph"/>
        <w:numPr>
          <w:ilvl w:val="0"/>
          <w:numId w:val="1"/>
        </w:numPr>
      </w:pPr>
      <w:r>
        <w:t>Updat</w:t>
      </w:r>
      <w:r w:rsidR="001672E0">
        <w:t>e</w:t>
      </w:r>
      <w:r>
        <w:t xml:space="preserve"> outdated terminology (on-track/mastered)</w:t>
      </w:r>
      <w:r w:rsidR="0094088A">
        <w:t xml:space="preserve"> throughout the application</w:t>
      </w:r>
      <w:r>
        <w:t>.</w:t>
      </w:r>
    </w:p>
    <w:p w14:paraId="7819D4A3" w14:textId="05AB3D43" w:rsidR="0096704E" w:rsidRDefault="0096704E" w:rsidP="00FC68D2">
      <w:pPr>
        <w:pStyle w:val="ListParagraph"/>
        <w:numPr>
          <w:ilvl w:val="0"/>
          <w:numId w:val="1"/>
        </w:numPr>
      </w:pPr>
      <w:r>
        <w:t>Provide results from “Scholar connections,” “Family connections,” and “Community connections” surveys</w:t>
      </w:r>
      <w:r w:rsidR="00DC63B2">
        <w:t xml:space="preserve">, along with any additional information you have </w:t>
      </w:r>
      <w:r>
        <w:t>demonstrating community support for the school (</w:t>
      </w:r>
      <w:r>
        <w:rPr>
          <w:i/>
          <w:iCs/>
        </w:rPr>
        <w:t xml:space="preserve">1.9c – </w:t>
      </w:r>
      <w:r>
        <w:t xml:space="preserve">pg. 152). </w:t>
      </w:r>
    </w:p>
    <w:p w14:paraId="51EEED3D" w14:textId="194CCC31" w:rsidR="00F34BA1" w:rsidRDefault="006D7497" w:rsidP="00FC68D2">
      <w:pPr>
        <w:pStyle w:val="ListParagraph"/>
        <w:numPr>
          <w:ilvl w:val="0"/>
          <w:numId w:val="1"/>
        </w:numPr>
      </w:pPr>
      <w:r>
        <w:t>Include</w:t>
      </w:r>
      <w:r w:rsidR="00F34BA1">
        <w:t xml:space="preserve"> contingency plans for 8</w:t>
      </w:r>
      <w:r w:rsidR="00F34BA1" w:rsidRPr="00F34BA1">
        <w:rPr>
          <w:vertAlign w:val="superscript"/>
        </w:rPr>
        <w:t>th</w:t>
      </w:r>
      <w:r w:rsidR="00F34BA1">
        <w:t xml:space="preserve"> grade math in the event some students do not qualify for Integrated Math (</w:t>
      </w:r>
      <w:r w:rsidR="00F34BA1">
        <w:rPr>
          <w:i/>
          <w:iCs/>
        </w:rPr>
        <w:t xml:space="preserve">1.4i – </w:t>
      </w:r>
      <w:r w:rsidR="00F34BA1">
        <w:t xml:space="preserve">pg. 74). </w:t>
      </w:r>
    </w:p>
    <w:p w14:paraId="47A19A7F" w14:textId="1706A608" w:rsidR="00F34BA1" w:rsidRDefault="00F34BA1" w:rsidP="00FC68D2">
      <w:pPr>
        <w:pStyle w:val="ListParagraph"/>
        <w:numPr>
          <w:ilvl w:val="0"/>
          <w:numId w:val="1"/>
        </w:numPr>
      </w:pPr>
      <w:r>
        <w:t xml:space="preserve">Update indicated TVAAS growth goals to reflect the TVAAS scoring system of 1-5, including </w:t>
      </w:r>
      <w:r w:rsidR="00392137">
        <w:t>descriptors (</w:t>
      </w:r>
      <w:r w:rsidR="00392137">
        <w:rPr>
          <w:i/>
          <w:iCs/>
        </w:rPr>
        <w:t xml:space="preserve">1.4b – </w:t>
      </w:r>
      <w:r w:rsidR="00392137">
        <w:t>Pg. 53</w:t>
      </w:r>
      <w:r w:rsidR="001E4572">
        <w:t xml:space="preserve"> &amp; 57</w:t>
      </w:r>
      <w:r w:rsidR="00392137">
        <w:t>)</w:t>
      </w:r>
      <w:r w:rsidR="001E4572">
        <w:t>.</w:t>
      </w:r>
    </w:p>
    <w:p w14:paraId="5665C186" w14:textId="3B6EC2A8" w:rsidR="001E4572" w:rsidRDefault="009632A6" w:rsidP="00FC68D2">
      <w:pPr>
        <w:pStyle w:val="ListParagraph"/>
        <w:numPr>
          <w:ilvl w:val="0"/>
          <w:numId w:val="1"/>
        </w:numPr>
      </w:pPr>
      <w:r>
        <w:t>Provide a more detailed plan for serving students that may need a more restrictive environment than the inclusion setting to serve their needs (</w:t>
      </w:r>
      <w:r>
        <w:rPr>
          <w:i/>
          <w:iCs/>
        </w:rPr>
        <w:t xml:space="preserve">1.7d – </w:t>
      </w:r>
      <w:r>
        <w:t>p. 122)</w:t>
      </w:r>
      <w:r w:rsidR="00B4301C">
        <w:t xml:space="preserve">. </w:t>
      </w:r>
      <w:r>
        <w:t>Provide evidence of an established relationship, or intended relationship, with specific contracted service providers (i.e., school psychologist, SLP, school nurse, OT, PT, behavioral counselors, etc.)(</w:t>
      </w:r>
      <w:r>
        <w:rPr>
          <w:i/>
          <w:iCs/>
        </w:rPr>
        <w:t xml:space="preserve">1.7d – </w:t>
      </w:r>
      <w:r>
        <w:t>pg. 121).</w:t>
      </w:r>
    </w:p>
    <w:p w14:paraId="49E38CFA" w14:textId="028BC8A1" w:rsidR="00F33A1A" w:rsidRPr="00644982" w:rsidRDefault="009632A6" w:rsidP="00703857">
      <w:pPr>
        <w:pStyle w:val="ListParagraph"/>
        <w:numPr>
          <w:ilvl w:val="0"/>
          <w:numId w:val="1"/>
        </w:numPr>
      </w:pPr>
      <w:r>
        <w:t xml:space="preserve">Revise section </w:t>
      </w:r>
      <w:r>
        <w:rPr>
          <w:i/>
          <w:iCs/>
        </w:rPr>
        <w:t xml:space="preserve">1.7e </w:t>
      </w:r>
      <w:r>
        <w:t xml:space="preserve">to address deficiencies in plans to serve English Language Learners by adding specific plans for creating, monitoring, and maintaining Individual Learning Plans (ILPs). </w:t>
      </w:r>
      <w:r w:rsidR="00703857">
        <w:t xml:space="preserve">Specify regulation-required procedures for screening students and accurately determining eligibility. Add plans for the monitoring of students who have exited ESL services. </w:t>
      </w:r>
      <w:r w:rsidR="00A34A66">
        <w:t xml:space="preserve">Please describe the specific instructional models </w:t>
      </w:r>
      <w:r w:rsidR="00A757EB">
        <w:t xml:space="preserve">to be utilized for ELL students. </w:t>
      </w:r>
      <w:r w:rsidR="009F517B">
        <w:t xml:space="preserve">For example, </w:t>
      </w:r>
      <w:r w:rsidR="00A757EB">
        <w:t>TDOE ESL rules include options of acceptable models including pull-out, sheltered instruction, and co-teaching</w:t>
      </w:r>
      <w:r w:rsidR="009F517B">
        <w:t xml:space="preserve">. </w:t>
      </w:r>
      <w:r w:rsidR="00703857">
        <w:t xml:space="preserve">The application will also need to be updated per TDOE plans to move to the use of ELPA21 and away from WIDA screening and annual assessment tools. </w:t>
      </w:r>
      <w:r w:rsidR="006B3753">
        <w:t xml:space="preserve">ELPA21 standards will now be used instead of the WIDA standards for instruction. </w:t>
      </w:r>
    </w:p>
    <w:p w14:paraId="158A7567" w14:textId="3754C3AD" w:rsidR="00703857" w:rsidRDefault="00703857" w:rsidP="00703857">
      <w:pPr>
        <w:rPr>
          <w:b/>
          <w:bCs/>
        </w:rPr>
      </w:pPr>
      <w:r>
        <w:rPr>
          <w:b/>
          <w:bCs/>
        </w:rPr>
        <w:t>Part II: Operations Plan and Capacity</w:t>
      </w:r>
    </w:p>
    <w:p w14:paraId="72EBB87E" w14:textId="29C7B0C1" w:rsidR="00703857" w:rsidRDefault="00703857" w:rsidP="00703857">
      <w:pPr>
        <w:pStyle w:val="ListParagraph"/>
        <w:numPr>
          <w:ilvl w:val="0"/>
          <w:numId w:val="2"/>
        </w:numPr>
      </w:pPr>
      <w:r>
        <w:t xml:space="preserve">In section </w:t>
      </w:r>
      <w:r w:rsidRPr="00703857">
        <w:rPr>
          <w:i/>
          <w:iCs/>
        </w:rPr>
        <w:t>2.9d</w:t>
      </w:r>
      <w:r>
        <w:rPr>
          <w:i/>
          <w:iCs/>
        </w:rPr>
        <w:t xml:space="preserve"> </w:t>
      </w:r>
      <w:r w:rsidR="00B55E19">
        <w:rPr>
          <w:i/>
          <w:iCs/>
        </w:rPr>
        <w:t>(</w:t>
      </w:r>
      <w:r w:rsidR="00B55E19">
        <w:t xml:space="preserve">p. 232) </w:t>
      </w:r>
      <w:r>
        <w:t xml:space="preserve">specifically describe the plan </w:t>
      </w:r>
      <w:r w:rsidR="00B55E19">
        <w:t>to station security at all entry points, including specific personnel employed to provide such</w:t>
      </w:r>
      <w:r w:rsidR="00B4301C">
        <w:t xml:space="preserve">. </w:t>
      </w:r>
      <w:r w:rsidR="00B55E19">
        <w:t>Add a provision for providing a School Resource Officer (SRO) to the application as an additional safety and security measure</w:t>
      </w:r>
      <w:r w:rsidR="00EC0838">
        <w:t>, as discussed in the capacity interview</w:t>
      </w:r>
      <w:r w:rsidR="00B55E19">
        <w:t xml:space="preserve">. Specifically reflect expenditures to upgrade the security system of the chosen facility </w:t>
      </w:r>
      <w:r w:rsidR="0083153F">
        <w:t>in</w:t>
      </w:r>
      <w:r w:rsidR="00B55E19">
        <w:t xml:space="preserve"> the proposed budget (Tab U/AA &amp; V/BB)</w:t>
      </w:r>
      <w:r w:rsidR="00EC0838">
        <w:t>, as necessary</w:t>
      </w:r>
      <w:r w:rsidR="00B55E19">
        <w:t xml:space="preserve">. </w:t>
      </w:r>
    </w:p>
    <w:p w14:paraId="37E910D7" w14:textId="60F6F232" w:rsidR="00B55E19" w:rsidRDefault="00D95604" w:rsidP="00B55E19">
      <w:pPr>
        <w:pStyle w:val="ListParagraph"/>
        <w:numPr>
          <w:ilvl w:val="0"/>
          <w:numId w:val="2"/>
        </w:numPr>
      </w:pPr>
      <w:r>
        <w:lastRenderedPageBreak/>
        <w:t>As was discussed at our meeting on 4/15, u</w:t>
      </w:r>
      <w:r w:rsidR="00EC7DBB">
        <w:t>pdate</w:t>
      </w:r>
      <w:r w:rsidR="00B55E19">
        <w:t xml:space="preserve"> the indicated timeline to engage architects and contractors to begin the renovations process earlier than the planned March 2025 start date (</w:t>
      </w:r>
      <w:r w:rsidR="00B55E19">
        <w:rPr>
          <w:i/>
          <w:iCs/>
        </w:rPr>
        <w:t xml:space="preserve">2.3f – </w:t>
      </w:r>
      <w:r w:rsidR="00B55E19">
        <w:t xml:space="preserve">pg. 197). </w:t>
      </w:r>
    </w:p>
    <w:p w14:paraId="4009775F" w14:textId="076A90CB" w:rsidR="00B55E19" w:rsidRDefault="00B55E19" w:rsidP="00B55E19">
      <w:pPr>
        <w:rPr>
          <w:b/>
          <w:bCs/>
        </w:rPr>
      </w:pPr>
      <w:r>
        <w:rPr>
          <w:b/>
          <w:bCs/>
        </w:rPr>
        <w:t xml:space="preserve">Part III: </w:t>
      </w:r>
    </w:p>
    <w:p w14:paraId="489B6FD6" w14:textId="77777777" w:rsidR="008E6745" w:rsidRPr="008E6745" w:rsidRDefault="00B55E19" w:rsidP="00B55E19">
      <w:pPr>
        <w:pStyle w:val="ListParagraph"/>
        <w:numPr>
          <w:ilvl w:val="0"/>
          <w:numId w:val="3"/>
        </w:numPr>
        <w:rPr>
          <w:b/>
          <w:bCs/>
        </w:rPr>
      </w:pPr>
      <w:r>
        <w:t>Provide specifics on the source of the indicated $1 million line of credit.</w:t>
      </w:r>
    </w:p>
    <w:p w14:paraId="51659795" w14:textId="3AF0789E" w:rsidR="00B55E19" w:rsidRPr="00AF248E" w:rsidRDefault="008E6745" w:rsidP="00B55E1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Add the </w:t>
      </w:r>
      <w:r w:rsidR="00737ACD">
        <w:t>recently added</w:t>
      </w:r>
      <w:r>
        <w:t xml:space="preserve"> board member </w:t>
      </w:r>
      <w:r w:rsidR="00573E0E">
        <w:t>to the</w:t>
      </w:r>
      <w:r w:rsidR="00737ACD">
        <w:t xml:space="preserve"> School Design Team list (</w:t>
      </w:r>
      <w:r w:rsidR="00737ACD">
        <w:rPr>
          <w:i/>
          <w:iCs/>
        </w:rPr>
        <w:t xml:space="preserve">pg. </w:t>
      </w:r>
      <w:r w:rsidR="005B3680">
        <w:rPr>
          <w:i/>
          <w:iCs/>
        </w:rPr>
        <w:t>6</w:t>
      </w:r>
      <w:r w:rsidR="0073423D">
        <w:rPr>
          <w:i/>
          <w:iCs/>
        </w:rPr>
        <w:t>) and</w:t>
      </w:r>
      <w:r w:rsidR="005B3680">
        <w:t xml:space="preserve"> provide a resume </w:t>
      </w:r>
      <w:r w:rsidR="005B3680">
        <w:rPr>
          <w:i/>
          <w:iCs/>
        </w:rPr>
        <w:t>(</w:t>
      </w:r>
      <w:r w:rsidR="00F52FD2">
        <w:rPr>
          <w:i/>
          <w:iCs/>
        </w:rPr>
        <w:t>Tab M)</w:t>
      </w:r>
      <w:r w:rsidR="00F52FD2">
        <w:t xml:space="preserve"> as evidence of increased financial oversight</w:t>
      </w:r>
      <w:r w:rsidR="0073423D">
        <w:t xml:space="preserve">. </w:t>
      </w:r>
    </w:p>
    <w:p w14:paraId="0457924E" w14:textId="2E061FA9" w:rsidR="00AF248E" w:rsidRPr="00B55E19" w:rsidRDefault="00AF248E" w:rsidP="00B55E19">
      <w:pPr>
        <w:pStyle w:val="ListParagraph"/>
        <w:numPr>
          <w:ilvl w:val="0"/>
          <w:numId w:val="3"/>
        </w:numPr>
        <w:rPr>
          <w:b/>
          <w:bCs/>
        </w:rPr>
      </w:pPr>
      <w:r>
        <w:t>Provide indicators in the proposed budget for planned stipends, tutoring pay, and performance bonuses (</w:t>
      </w:r>
      <w:r>
        <w:rPr>
          <w:i/>
          <w:iCs/>
        </w:rPr>
        <w:t xml:space="preserve">1.1d – </w:t>
      </w:r>
      <w:r>
        <w:t>pg. 116</w:t>
      </w:r>
      <w:r w:rsidR="00AE21B2">
        <w:t xml:space="preserve">, </w:t>
      </w:r>
      <w:r w:rsidR="00AE21B2" w:rsidRPr="00AE21B2">
        <w:rPr>
          <w:i/>
          <w:iCs/>
        </w:rPr>
        <w:t>Tab AA &amp; BB</w:t>
      </w:r>
      <w:r>
        <w:t xml:space="preserve">). </w:t>
      </w:r>
    </w:p>
    <w:p w14:paraId="68BD2C47" w14:textId="77777777" w:rsidR="00FC68D2" w:rsidRPr="00FC68D2" w:rsidRDefault="00FC68D2" w:rsidP="00FF10F5"/>
    <w:sectPr w:rsidR="00FC68D2" w:rsidRPr="00FC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025"/>
    <w:multiLevelType w:val="hybridMultilevel"/>
    <w:tmpl w:val="DD1AD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082"/>
    <w:multiLevelType w:val="hybridMultilevel"/>
    <w:tmpl w:val="608C6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6E1F"/>
    <w:multiLevelType w:val="hybridMultilevel"/>
    <w:tmpl w:val="D5A22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7987">
    <w:abstractNumId w:val="1"/>
  </w:num>
  <w:num w:numId="2" w16cid:durableId="1332104609">
    <w:abstractNumId w:val="0"/>
  </w:num>
  <w:num w:numId="3" w16cid:durableId="103461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D2"/>
    <w:rsid w:val="00013FF9"/>
    <w:rsid w:val="00021839"/>
    <w:rsid w:val="000F7AAB"/>
    <w:rsid w:val="001672E0"/>
    <w:rsid w:val="001E4572"/>
    <w:rsid w:val="002460AD"/>
    <w:rsid w:val="00392137"/>
    <w:rsid w:val="0043121C"/>
    <w:rsid w:val="00573E0E"/>
    <w:rsid w:val="005B3680"/>
    <w:rsid w:val="00644982"/>
    <w:rsid w:val="006B3753"/>
    <w:rsid w:val="006D7497"/>
    <w:rsid w:val="00703857"/>
    <w:rsid w:val="0073423D"/>
    <w:rsid w:val="00737ACD"/>
    <w:rsid w:val="007A3D25"/>
    <w:rsid w:val="0083153F"/>
    <w:rsid w:val="008501DC"/>
    <w:rsid w:val="008E6745"/>
    <w:rsid w:val="0094088A"/>
    <w:rsid w:val="009632A6"/>
    <w:rsid w:val="0096704E"/>
    <w:rsid w:val="009C5F25"/>
    <w:rsid w:val="009F517B"/>
    <w:rsid w:val="00A34A66"/>
    <w:rsid w:val="00A757EB"/>
    <w:rsid w:val="00AD6205"/>
    <w:rsid w:val="00AE21B2"/>
    <w:rsid w:val="00AF248E"/>
    <w:rsid w:val="00B4301C"/>
    <w:rsid w:val="00B55E19"/>
    <w:rsid w:val="00BA110E"/>
    <w:rsid w:val="00C7339C"/>
    <w:rsid w:val="00CA0E48"/>
    <w:rsid w:val="00D95604"/>
    <w:rsid w:val="00DC63B2"/>
    <w:rsid w:val="00DD0B23"/>
    <w:rsid w:val="00EC0838"/>
    <w:rsid w:val="00EC7DBB"/>
    <w:rsid w:val="00F2125C"/>
    <w:rsid w:val="00F33A1A"/>
    <w:rsid w:val="00F34BA1"/>
    <w:rsid w:val="00F52FD2"/>
    <w:rsid w:val="00FC68D2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E9BE"/>
  <w15:chartTrackingRefBased/>
  <w15:docId w15:val="{847983A4-AB9D-4621-BE3C-F049EFDB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Rutherford County Schools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McCann</dc:creator>
  <cp:keywords/>
  <dc:description/>
  <cp:lastModifiedBy>Jeff McCann</cp:lastModifiedBy>
  <cp:revision>33</cp:revision>
  <dcterms:created xsi:type="dcterms:W3CDTF">2024-04-10T14:23:00Z</dcterms:created>
  <dcterms:modified xsi:type="dcterms:W3CDTF">2024-04-19T00:06:00Z</dcterms:modified>
</cp:coreProperties>
</file>